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37" w:lineRule="auto"/>
        <w:rPr>
          <w:rFonts w:ascii="黑体" w:hAnsi="黑体" w:eastAsia="黑体" w:cs="宋体"/>
          <w:sz w:val="32"/>
          <w:szCs w:val="32"/>
        </w:rPr>
      </w:pPr>
      <w:bookmarkStart w:id="0" w:name="_GoBack"/>
      <w:bookmarkEnd w:id="0"/>
      <w:r>
        <w:rPr>
          <w:rFonts w:hint="eastAsia" w:ascii="黑体" w:hAnsi="黑体" w:eastAsia="黑体" w:cs="宋体"/>
          <w:sz w:val="32"/>
          <w:szCs w:val="32"/>
        </w:rPr>
        <w:t>附件2</w:t>
      </w:r>
    </w:p>
    <w:p>
      <w:pPr>
        <w:adjustRightInd w:val="0"/>
        <w:spacing w:line="237" w:lineRule="auto"/>
        <w:jc w:val="center"/>
        <w:rPr>
          <w:rFonts w:ascii="宋体" w:hAnsi="宋体" w:cs="宋体"/>
          <w:szCs w:val="21"/>
        </w:rPr>
      </w:pPr>
    </w:p>
    <w:p>
      <w:pPr>
        <w:adjustRightInd w:val="0"/>
        <w:spacing w:line="237" w:lineRule="auto"/>
        <w:jc w:val="center"/>
        <w:rPr>
          <w:rFonts w:ascii="宋体" w:hAnsi="宋体" w:cs="宋体"/>
          <w:szCs w:val="21"/>
        </w:rPr>
      </w:pPr>
    </w:p>
    <w:p>
      <w:pPr>
        <w:adjustRightInd w:val="0"/>
        <w:spacing w:line="237" w:lineRule="auto"/>
        <w:jc w:val="center"/>
        <w:rPr>
          <w:rFonts w:ascii="宋体" w:hAnsi="宋体" w:cs="宋体"/>
          <w:szCs w:val="21"/>
        </w:rPr>
      </w:pPr>
    </w:p>
    <w:p>
      <w:pPr>
        <w:spacing w:line="560" w:lineRule="exact"/>
        <w:jc w:val="center"/>
        <w:rPr>
          <w:rFonts w:ascii="方正小标宋简体" w:hAnsi="宋体" w:eastAsia="方正小标宋简体" w:cs="宋体"/>
          <w:color w:val="000000"/>
          <w:sz w:val="44"/>
          <w:szCs w:val="22"/>
        </w:rPr>
      </w:pPr>
      <w:r>
        <w:rPr>
          <w:rFonts w:hint="eastAsia" w:ascii="方正小标宋简体" w:hAnsi="宋体" w:eastAsia="方正小标宋简体" w:cs="宋体"/>
          <w:color w:val="000000"/>
          <w:sz w:val="44"/>
          <w:szCs w:val="22"/>
        </w:rPr>
        <w:t>《深圳证券交易所 中国证券登记结算</w:t>
      </w:r>
      <w:r>
        <w:rPr>
          <w:rFonts w:ascii="方正小标宋简体" w:hAnsi="宋体" w:eastAsia="方正小标宋简体" w:cs="宋体"/>
          <w:color w:val="000000"/>
          <w:sz w:val="44"/>
          <w:szCs w:val="22"/>
        </w:rPr>
        <w:br w:type="textWrapping"/>
      </w:r>
      <w:r>
        <w:rPr>
          <w:rFonts w:hint="eastAsia" w:ascii="方正小标宋简体" w:hAnsi="宋体" w:eastAsia="方正小标宋简体" w:cs="宋体"/>
          <w:color w:val="000000"/>
          <w:sz w:val="44"/>
          <w:szCs w:val="22"/>
        </w:rPr>
        <w:t>有限责任公司B转H业务实施细则》</w:t>
      </w:r>
    </w:p>
    <w:p>
      <w:pPr>
        <w:spacing w:line="560" w:lineRule="exact"/>
        <w:jc w:val="center"/>
        <w:rPr>
          <w:rFonts w:ascii="方正小标宋简体" w:hAnsi="宋体" w:eastAsia="方正小标宋简体" w:cs="宋体"/>
          <w:color w:val="000000"/>
          <w:sz w:val="44"/>
          <w:szCs w:val="22"/>
        </w:rPr>
      </w:pPr>
      <w:r>
        <w:rPr>
          <w:rFonts w:hint="eastAsia" w:ascii="方正小标宋简体" w:hAnsi="宋体" w:eastAsia="方正小标宋简体" w:cs="宋体"/>
          <w:color w:val="000000"/>
          <w:sz w:val="44"/>
          <w:szCs w:val="22"/>
        </w:rPr>
        <w:t>起草说明</w:t>
      </w:r>
    </w:p>
    <w:p>
      <w:pPr>
        <w:adjustRightInd w:val="0"/>
        <w:spacing w:line="237" w:lineRule="auto"/>
        <w:jc w:val="center"/>
        <w:rPr>
          <w:rFonts w:ascii="宋体" w:hAnsi="宋体" w:cs="宋体"/>
          <w:szCs w:val="21"/>
        </w:rPr>
      </w:pPr>
    </w:p>
    <w:p>
      <w:pPr>
        <w:adjustRightInd w:val="0"/>
        <w:spacing w:line="237" w:lineRule="auto"/>
        <w:jc w:val="center"/>
        <w:rPr>
          <w:rFonts w:ascii="宋体" w:hAnsi="宋体" w:cs="宋体"/>
          <w:szCs w:val="21"/>
        </w:rPr>
      </w:pPr>
    </w:p>
    <w:p>
      <w:pPr>
        <w:adjustRightInd w:val="0"/>
        <w:spacing w:line="237" w:lineRule="auto"/>
        <w:jc w:val="center"/>
        <w:rPr>
          <w:rFonts w:ascii="宋体" w:hAnsi="宋体" w:cs="宋体"/>
          <w:szCs w:val="21"/>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为了完善深圳市场境内上市外资股转为境外上市外资股并在香港联合交易所有限公司（以下简称联交所）上市交易（以下简称B转H）业务配套规则，优化相应技术系统建设，更好保障业务平稳运行，</w:t>
      </w:r>
      <w:r>
        <w:rPr>
          <w:rFonts w:ascii="仿宋" w:hAnsi="仿宋" w:eastAsia="仿宋"/>
          <w:sz w:val="32"/>
          <w:szCs w:val="32"/>
        </w:rPr>
        <w:t>根据《中华人民共和国证券法》《证券登记结算管理办法》等法律、行政法规、部门规章、规范性文件，</w:t>
      </w:r>
      <w:r>
        <w:rPr>
          <w:rFonts w:hint="eastAsia" w:ascii="仿宋" w:hAnsi="仿宋" w:eastAsia="仿宋"/>
          <w:sz w:val="32"/>
          <w:szCs w:val="32"/>
        </w:rPr>
        <w:t>深圳证券交易所（以下简称深交所）会同中国证券登记结算有限责任公司（以下简称中国结算）在总结深市B转H业务实践经验的基础上</w:t>
      </w:r>
      <w:r>
        <w:rPr>
          <w:rFonts w:ascii="仿宋" w:hAnsi="仿宋" w:eastAsia="仿宋"/>
          <w:sz w:val="32"/>
          <w:szCs w:val="32"/>
        </w:rPr>
        <w:t>起草了《</w:t>
      </w:r>
      <w:r>
        <w:rPr>
          <w:rFonts w:hint="eastAsia" w:ascii="仿宋" w:hAnsi="仿宋" w:eastAsia="仿宋"/>
          <w:sz w:val="32"/>
          <w:szCs w:val="32"/>
        </w:rPr>
        <w:t>深圳</w:t>
      </w:r>
      <w:r>
        <w:rPr>
          <w:rFonts w:ascii="仿宋" w:hAnsi="仿宋" w:eastAsia="仿宋"/>
          <w:sz w:val="32"/>
          <w:szCs w:val="32"/>
        </w:rPr>
        <w:t>证券交易所</w:t>
      </w:r>
      <w:r>
        <w:rPr>
          <w:rFonts w:hint="eastAsia" w:ascii="仿宋" w:hAnsi="仿宋" w:eastAsia="仿宋"/>
          <w:sz w:val="32"/>
          <w:szCs w:val="32"/>
        </w:rPr>
        <w:t xml:space="preserve"> </w:t>
      </w:r>
      <w:r>
        <w:rPr>
          <w:rFonts w:ascii="仿宋" w:hAnsi="仿宋" w:eastAsia="仿宋"/>
          <w:sz w:val="32"/>
          <w:szCs w:val="32"/>
        </w:rPr>
        <w:t>中国证券登记结算有限责任公司B转H业务</w:t>
      </w:r>
      <w:r>
        <w:rPr>
          <w:rFonts w:hint="eastAsia" w:ascii="仿宋" w:hAnsi="仿宋" w:eastAsia="仿宋"/>
          <w:sz w:val="32"/>
          <w:szCs w:val="32"/>
        </w:rPr>
        <w:t>实施</w:t>
      </w:r>
      <w:r>
        <w:rPr>
          <w:rFonts w:ascii="仿宋" w:hAnsi="仿宋" w:eastAsia="仿宋"/>
          <w:sz w:val="32"/>
          <w:szCs w:val="32"/>
        </w:rPr>
        <w:t>细则》（以下简称《细则》）。现就相关情况说明如下</w:t>
      </w:r>
      <w:r>
        <w:rPr>
          <w:rFonts w:hint="eastAsia" w:ascii="仿宋" w:hAnsi="仿宋" w:eastAsia="仿宋"/>
          <w:sz w:val="32"/>
          <w:szCs w:val="32"/>
        </w:rPr>
        <w:t>：</w:t>
      </w:r>
    </w:p>
    <w:p>
      <w:pPr>
        <w:spacing w:line="560" w:lineRule="exact"/>
        <w:ind w:firstLine="640" w:firstLineChars="200"/>
        <w:outlineLvl w:val="9"/>
        <w:rPr>
          <w:rFonts w:ascii="黑体" w:hAnsi="黑体" w:eastAsia="黑体" w:cs="黑体"/>
          <w:bCs/>
          <w:sz w:val="32"/>
          <w:szCs w:val="32"/>
        </w:rPr>
      </w:pPr>
      <w:r>
        <w:rPr>
          <w:rFonts w:hint="eastAsia" w:ascii="黑体" w:hAnsi="黑体" w:eastAsia="黑体" w:cs="黑体"/>
          <w:bCs/>
          <w:sz w:val="32"/>
          <w:szCs w:val="32"/>
        </w:rPr>
        <w:t>一、起草思路</w:t>
      </w:r>
    </w:p>
    <w:p>
      <w:pPr>
        <w:spacing w:line="560" w:lineRule="exact"/>
        <w:ind w:firstLine="640" w:firstLineChars="200"/>
        <w:outlineLvl w:val="9"/>
        <w:rPr>
          <w:rFonts w:ascii="仿宋" w:hAnsi="仿宋" w:eastAsia="仿宋"/>
          <w:sz w:val="32"/>
          <w:szCs w:val="32"/>
        </w:rPr>
      </w:pPr>
      <w:r>
        <w:rPr>
          <w:rFonts w:hint="eastAsia" w:ascii="仿宋" w:hAnsi="仿宋" w:eastAsia="仿宋"/>
          <w:sz w:val="32"/>
          <w:szCs w:val="32"/>
        </w:rPr>
        <w:t>在深交所和中国结算的共同参与下，深市建立了成熟的B转H业务技术系统和交易路径，3家公司已实施完成B转H业务，其中2家由中国结算承担托管人职责。2013年10月，中国结算发布《中国证券登记结算有限责任公司深圳分公司B转H境内业务指南》和《中国证券登记结算有限责任公司深圳分公司B转H境内业务投资者操作指南》，指导深市上市公司实施B转H业务。为进一步完善交易前端监控机制，优化业务实施流程，明确会员管理职责，深交所联合中国结算在现行业务指南基础上制定发布《细则》，以更好规范中国结算托管模式下的B转H业务。</w:t>
      </w:r>
    </w:p>
    <w:p>
      <w:pPr>
        <w:tabs>
          <w:tab w:val="left" w:pos="5341"/>
        </w:tabs>
        <w:spacing w:line="560" w:lineRule="exact"/>
        <w:ind w:firstLine="566" w:firstLineChars="177"/>
        <w:rPr>
          <w:rFonts w:ascii="黑体" w:hAnsi="黑体" w:eastAsia="黑体" w:cs="黑体"/>
          <w:bCs/>
          <w:sz w:val="32"/>
          <w:szCs w:val="32"/>
        </w:rPr>
      </w:pPr>
      <w:r>
        <w:rPr>
          <w:rFonts w:hint="eastAsia" w:ascii="黑体" w:hAnsi="黑体" w:eastAsia="黑体" w:cs="黑体"/>
          <w:bCs/>
          <w:sz w:val="32"/>
          <w:szCs w:val="32"/>
        </w:rPr>
        <w:t>二、主要内容</w:t>
      </w:r>
      <w:r>
        <w:rPr>
          <w:rFonts w:ascii="黑体" w:hAnsi="黑体" w:eastAsia="黑体" w:cs="黑体"/>
          <w:bCs/>
          <w:sz w:val="32"/>
          <w:szCs w:val="32"/>
        </w:rPr>
        <w:tab/>
      </w:r>
    </w:p>
    <w:p>
      <w:pPr>
        <w:spacing w:line="560" w:lineRule="exact"/>
        <w:ind w:firstLine="566" w:firstLineChars="177"/>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细则</w:t>
      </w:r>
      <w:r>
        <w:rPr>
          <w:rFonts w:hint="eastAsia" w:ascii="仿宋" w:hAnsi="仿宋" w:eastAsia="仿宋"/>
          <w:sz w:val="32"/>
          <w:szCs w:val="32"/>
        </w:rPr>
        <w:t>》</w:t>
      </w:r>
      <w:r>
        <w:rPr>
          <w:rFonts w:ascii="仿宋" w:hAnsi="仿宋" w:eastAsia="仿宋"/>
          <w:sz w:val="32"/>
          <w:szCs w:val="32"/>
        </w:rPr>
        <w:t>共九章</w:t>
      </w:r>
      <w:r>
        <w:rPr>
          <w:rFonts w:hint="eastAsia" w:ascii="仿宋" w:hAnsi="仿宋" w:eastAsia="仿宋"/>
          <w:sz w:val="32"/>
          <w:szCs w:val="32"/>
        </w:rPr>
        <w:t>四十九</w:t>
      </w:r>
      <w:r>
        <w:rPr>
          <w:rFonts w:ascii="仿宋" w:hAnsi="仿宋" w:eastAsia="仿宋"/>
          <w:sz w:val="32"/>
          <w:szCs w:val="32"/>
        </w:rPr>
        <w:t>条，主要包括制定依据、跨境转登记基本原则、股份存管和明细维护的流程安排、交易委托关系和指令传递、清算交收的步骤和集中履约保障、</w:t>
      </w:r>
      <w:r>
        <w:rPr>
          <w:rFonts w:hint="eastAsia" w:ascii="仿宋" w:hAnsi="仿宋" w:eastAsia="仿宋"/>
          <w:sz w:val="32"/>
          <w:szCs w:val="32"/>
        </w:rPr>
        <w:t>公司行为服务</w:t>
      </w:r>
      <w:r>
        <w:rPr>
          <w:rFonts w:ascii="仿宋" w:hAnsi="仿宋" w:eastAsia="仿宋"/>
          <w:sz w:val="32"/>
          <w:szCs w:val="32"/>
        </w:rPr>
        <w:t>的范围和方式、前端监控和结算风险管理及措施等内容，并</w:t>
      </w:r>
      <w:r>
        <w:rPr>
          <w:rFonts w:hint="eastAsia" w:ascii="仿宋" w:hAnsi="仿宋" w:eastAsia="仿宋"/>
          <w:sz w:val="32"/>
          <w:szCs w:val="32"/>
        </w:rPr>
        <w:t>对突发性</w:t>
      </w:r>
      <w:r>
        <w:rPr>
          <w:rFonts w:ascii="仿宋" w:hAnsi="仿宋" w:eastAsia="仿宋"/>
          <w:sz w:val="32"/>
          <w:szCs w:val="32"/>
        </w:rPr>
        <w:t>事件的处理进行了原则性的规定。</w:t>
      </w:r>
    </w:p>
    <w:p>
      <w:pPr>
        <w:spacing w:line="560" w:lineRule="exact"/>
        <w:ind w:firstLine="566" w:firstLineChars="177"/>
        <w:rPr>
          <w:rFonts w:ascii="楷体" w:hAnsi="楷体" w:eastAsia="楷体"/>
          <w:sz w:val="32"/>
          <w:szCs w:val="32"/>
        </w:rPr>
      </w:pPr>
      <w:r>
        <w:rPr>
          <w:rFonts w:hint="eastAsia" w:ascii="楷体" w:hAnsi="楷体" w:eastAsia="楷体"/>
          <w:sz w:val="32"/>
          <w:szCs w:val="32"/>
        </w:rPr>
        <w:t>（一）关于B转H交易路径</w:t>
      </w:r>
    </w:p>
    <w:p>
      <w:pPr>
        <w:spacing w:line="560" w:lineRule="exact"/>
        <w:ind w:firstLine="640" w:firstLineChars="200"/>
        <w:rPr>
          <w:rFonts w:ascii="仿宋" w:hAnsi="仿宋" w:eastAsia="仿宋"/>
          <w:spacing w:val="-6"/>
          <w:sz w:val="32"/>
          <w:szCs w:val="32"/>
        </w:rPr>
      </w:pPr>
      <w:r>
        <w:rPr>
          <w:rFonts w:hint="eastAsia" w:ascii="仿宋" w:hAnsi="仿宋" w:eastAsia="仿宋"/>
          <w:bCs/>
          <w:sz w:val="32"/>
          <w:szCs w:val="32"/>
        </w:rPr>
        <w:t>上市公司根据股东大会方案，选择一家香港证券公司作为在联交所卖出股份的经纪商。</w:t>
      </w:r>
      <w:r>
        <w:rPr>
          <w:rFonts w:hint="eastAsia" w:ascii="仿宋" w:hAnsi="仿宋" w:eastAsia="仿宋"/>
          <w:sz w:val="32"/>
          <w:szCs w:val="32"/>
        </w:rPr>
        <w:t>投</w:t>
      </w:r>
      <w:r>
        <w:rPr>
          <w:rFonts w:ascii="仿宋" w:hAnsi="仿宋" w:eastAsia="仿宋"/>
          <w:sz w:val="32"/>
          <w:szCs w:val="32"/>
        </w:rPr>
        <w:t>资者持有的H股存管</w:t>
      </w:r>
      <w:r>
        <w:rPr>
          <w:rFonts w:hint="eastAsia" w:ascii="仿宋" w:hAnsi="仿宋" w:eastAsia="仿宋"/>
          <w:sz w:val="32"/>
          <w:szCs w:val="32"/>
        </w:rPr>
        <w:t>于</w:t>
      </w:r>
      <w:r>
        <w:rPr>
          <w:rFonts w:ascii="仿宋" w:hAnsi="仿宋" w:eastAsia="仿宋"/>
          <w:sz w:val="32"/>
          <w:szCs w:val="32"/>
        </w:rPr>
        <w:t>中国结算</w:t>
      </w:r>
      <w:r>
        <w:rPr>
          <w:rFonts w:hint="eastAsia" w:ascii="仿宋" w:hAnsi="仿宋" w:eastAsia="仿宋"/>
          <w:sz w:val="32"/>
          <w:szCs w:val="32"/>
        </w:rPr>
        <w:t>在香港中央结算有限公司（以下简称</w:t>
      </w:r>
      <w:r>
        <w:rPr>
          <w:rFonts w:ascii="仿宋" w:hAnsi="仿宋" w:eastAsia="仿宋"/>
          <w:sz w:val="32"/>
          <w:szCs w:val="32"/>
        </w:rPr>
        <w:t>香港结算</w:t>
      </w:r>
      <w:r>
        <w:rPr>
          <w:rFonts w:hint="eastAsia" w:ascii="仿宋" w:hAnsi="仿宋" w:eastAsia="仿宋"/>
          <w:sz w:val="32"/>
          <w:szCs w:val="32"/>
        </w:rPr>
        <w:t>）开立的证券</w:t>
      </w:r>
      <w:r>
        <w:rPr>
          <w:rFonts w:ascii="仿宋" w:hAnsi="仿宋" w:eastAsia="仿宋"/>
          <w:sz w:val="32"/>
          <w:szCs w:val="32"/>
        </w:rPr>
        <w:t>账户中</w:t>
      </w:r>
      <w:r>
        <w:rPr>
          <w:rFonts w:ascii="仿宋" w:hAnsi="仿宋" w:eastAsia="仿宋"/>
          <w:kern w:val="0"/>
          <w:sz w:val="32"/>
          <w:szCs w:val="32"/>
        </w:rPr>
        <w:t>，</w:t>
      </w:r>
      <w:r>
        <w:rPr>
          <w:rFonts w:hint="eastAsia" w:ascii="仿宋" w:hAnsi="仿宋" w:eastAsia="仿宋"/>
          <w:kern w:val="0"/>
          <w:sz w:val="32"/>
          <w:szCs w:val="32"/>
        </w:rPr>
        <w:t>并</w:t>
      </w:r>
      <w:r>
        <w:rPr>
          <w:rFonts w:ascii="仿宋" w:hAnsi="仿宋" w:eastAsia="仿宋"/>
          <w:kern w:val="0"/>
          <w:sz w:val="32"/>
          <w:szCs w:val="32"/>
        </w:rPr>
        <w:t>以香港</w:t>
      </w:r>
      <w:r>
        <w:rPr>
          <w:rFonts w:hint="eastAsia" w:ascii="仿宋" w:hAnsi="仿宋" w:eastAsia="仿宋"/>
          <w:kern w:val="0"/>
          <w:sz w:val="32"/>
          <w:szCs w:val="32"/>
        </w:rPr>
        <w:t>中央</w:t>
      </w:r>
      <w:r>
        <w:rPr>
          <w:rFonts w:ascii="仿宋" w:hAnsi="仿宋" w:eastAsia="仿宋"/>
          <w:kern w:val="0"/>
          <w:sz w:val="32"/>
          <w:szCs w:val="32"/>
        </w:rPr>
        <w:t>结算</w:t>
      </w:r>
      <w:r>
        <w:rPr>
          <w:rFonts w:hint="eastAsia" w:ascii="仿宋" w:hAnsi="仿宋" w:eastAsia="仿宋"/>
          <w:kern w:val="0"/>
          <w:sz w:val="32"/>
          <w:szCs w:val="32"/>
        </w:rPr>
        <w:t>（代理人）有限公司</w:t>
      </w:r>
      <w:r>
        <w:rPr>
          <w:rFonts w:ascii="仿宋" w:hAnsi="仿宋" w:eastAsia="仿宋"/>
          <w:kern w:val="0"/>
          <w:sz w:val="32"/>
          <w:szCs w:val="32"/>
        </w:rPr>
        <w:t>的名义登记于发行人的股东名册。</w:t>
      </w:r>
      <w:r>
        <w:rPr>
          <w:rFonts w:ascii="仿宋" w:hAnsi="仿宋" w:eastAsia="仿宋"/>
          <w:sz w:val="32"/>
          <w:szCs w:val="32"/>
        </w:rPr>
        <w:t>投资者通过境内券商</w:t>
      </w:r>
      <w:r>
        <w:rPr>
          <w:rFonts w:ascii="仿宋" w:hAnsi="仿宋" w:eastAsia="仿宋"/>
          <w:spacing w:val="-6"/>
          <w:sz w:val="32"/>
          <w:szCs w:val="32"/>
        </w:rPr>
        <w:t>提交H股的卖出交易委托指令，经</w:t>
      </w:r>
      <w:r>
        <w:rPr>
          <w:rFonts w:hint="eastAsia" w:ascii="仿宋" w:hAnsi="仿宋" w:eastAsia="仿宋"/>
          <w:spacing w:val="-6"/>
          <w:sz w:val="32"/>
          <w:szCs w:val="32"/>
        </w:rPr>
        <w:t>深圳证券通信有限公司（以下简称深证通）提供的订单路由</w:t>
      </w:r>
      <w:r>
        <w:rPr>
          <w:rFonts w:ascii="仿宋" w:hAnsi="仿宋" w:eastAsia="仿宋"/>
          <w:spacing w:val="-6"/>
          <w:sz w:val="32"/>
          <w:szCs w:val="32"/>
        </w:rPr>
        <w:t>，由上市公司选</w:t>
      </w:r>
      <w:r>
        <w:rPr>
          <w:rFonts w:hint="eastAsia" w:ascii="仿宋" w:hAnsi="仿宋" w:eastAsia="仿宋"/>
          <w:spacing w:val="-6"/>
          <w:sz w:val="32"/>
          <w:szCs w:val="32"/>
        </w:rPr>
        <w:t>择</w:t>
      </w:r>
      <w:r>
        <w:rPr>
          <w:rFonts w:ascii="仿宋" w:hAnsi="仿宋" w:eastAsia="仿宋"/>
          <w:spacing w:val="-6"/>
          <w:sz w:val="32"/>
          <w:szCs w:val="32"/>
        </w:rPr>
        <w:t>的香港证券公司报送至联交所进行交易。</w:t>
      </w:r>
    </w:p>
    <w:p>
      <w:pPr>
        <w:spacing w:line="560" w:lineRule="exact"/>
        <w:ind w:firstLine="566" w:firstLineChars="177"/>
        <w:rPr>
          <w:rFonts w:ascii="楷体" w:hAnsi="楷体" w:eastAsia="楷体"/>
          <w:sz w:val="32"/>
          <w:szCs w:val="32"/>
        </w:rPr>
      </w:pPr>
      <w:r>
        <w:rPr>
          <w:rFonts w:hint="eastAsia" w:ascii="楷体" w:hAnsi="楷体" w:eastAsia="楷体"/>
          <w:sz w:val="32"/>
          <w:szCs w:val="32"/>
        </w:rPr>
        <w:t>（二）关于跨境转登记</w:t>
      </w:r>
    </w:p>
    <w:p>
      <w:pPr>
        <w:spacing w:line="560" w:lineRule="exact"/>
        <w:ind w:firstLine="566" w:firstLineChars="177"/>
        <w:rPr>
          <w:rFonts w:ascii="仿宋" w:hAnsi="仿宋" w:eastAsia="仿宋"/>
          <w:sz w:val="32"/>
          <w:szCs w:val="32"/>
        </w:rPr>
      </w:pPr>
      <w:r>
        <w:rPr>
          <w:rFonts w:hint="eastAsia" w:ascii="仿宋" w:hAnsi="仿宋" w:eastAsia="仿宋"/>
          <w:sz w:val="32"/>
          <w:szCs w:val="32"/>
        </w:rPr>
        <w:t>上市公司先完成深市B股终止上市及B股退出登记，再到香港市场进行股份登记。对于B股退出登记前被质押、冻结的股份，B转H后经上市公司申报质押、冻结仍有效的，原办理主体应当做好数据维护。</w:t>
      </w:r>
    </w:p>
    <w:p>
      <w:pPr>
        <w:spacing w:line="560" w:lineRule="exact"/>
        <w:ind w:firstLine="566" w:firstLineChars="177"/>
        <w:rPr>
          <w:rFonts w:ascii="楷体" w:hAnsi="楷体" w:eastAsia="楷体"/>
          <w:sz w:val="32"/>
          <w:szCs w:val="32"/>
        </w:rPr>
      </w:pPr>
      <w:r>
        <w:rPr>
          <w:rFonts w:hint="eastAsia" w:ascii="楷体" w:hAnsi="楷体" w:eastAsia="楷体"/>
          <w:sz w:val="32"/>
          <w:szCs w:val="32"/>
        </w:rPr>
        <w:t>（三）存管和持有明细维护</w:t>
      </w:r>
    </w:p>
    <w:p>
      <w:pPr>
        <w:spacing w:line="560" w:lineRule="exact"/>
        <w:ind w:firstLine="566" w:firstLineChars="177"/>
        <w:rPr>
          <w:rFonts w:ascii="仿宋" w:hAnsi="仿宋" w:eastAsia="仿宋"/>
          <w:sz w:val="32"/>
          <w:szCs w:val="32"/>
        </w:rPr>
      </w:pPr>
      <w:r>
        <w:rPr>
          <w:rFonts w:hint="eastAsia" w:ascii="仿宋" w:hAnsi="仿宋" w:eastAsia="仿宋"/>
          <w:sz w:val="32"/>
          <w:szCs w:val="32"/>
        </w:rPr>
        <w:t>投资者持有的H股存管于中国结算在香港结算开立的证券账户，中国结算记录并维护投资者持有H股股份明细。境外投资者可通过托管其股份的证券公司或负责其结算的托管银行向中国结算申请，将所持股份跨境转托管至香港的证券公司或托管银行。投资者所持H股非交易过户、质押登记、协助执法等业务参照中国结算相关业务规则办理。</w:t>
      </w:r>
    </w:p>
    <w:p>
      <w:pPr>
        <w:spacing w:line="560" w:lineRule="exact"/>
        <w:ind w:firstLine="566" w:firstLineChars="177"/>
        <w:rPr>
          <w:rFonts w:ascii="楷体" w:hAnsi="楷体" w:eastAsia="楷体"/>
          <w:sz w:val="32"/>
          <w:szCs w:val="32"/>
        </w:rPr>
      </w:pPr>
      <w:r>
        <w:rPr>
          <w:rFonts w:hint="eastAsia" w:ascii="楷体" w:hAnsi="楷体" w:eastAsia="楷体"/>
          <w:sz w:val="32"/>
          <w:szCs w:val="32"/>
        </w:rPr>
        <w:t>（四）交易委托与指令传递</w:t>
      </w:r>
    </w:p>
    <w:p>
      <w:pPr>
        <w:spacing w:line="560" w:lineRule="exact"/>
        <w:ind w:firstLine="566" w:firstLineChars="177"/>
        <w:rPr>
          <w:rFonts w:ascii="仿宋" w:hAnsi="仿宋" w:eastAsia="仿宋"/>
          <w:sz w:val="32"/>
          <w:szCs w:val="32"/>
        </w:rPr>
      </w:pPr>
      <w:r>
        <w:rPr>
          <w:rFonts w:hint="eastAsia" w:ascii="仿宋" w:hAnsi="仿宋" w:eastAsia="仿宋"/>
          <w:sz w:val="32"/>
          <w:szCs w:val="32"/>
        </w:rPr>
        <w:t>投资者通过境内证券公司提交交易委托指令，经由深证通传递至香港证券公司。香港证券公司按照联交所规则在香港市场进行证券交易。深证通仅在深交所和联交所的共同交易时间提供交易委托指令传递等服务。投资者和境内证券公司在进行交易委托时均应当确认有足额可用的证券。</w:t>
      </w:r>
    </w:p>
    <w:p>
      <w:pPr>
        <w:spacing w:line="560" w:lineRule="exact"/>
        <w:ind w:firstLine="566" w:firstLineChars="177"/>
        <w:rPr>
          <w:rFonts w:ascii="楷体" w:hAnsi="楷体" w:eastAsia="楷体"/>
          <w:sz w:val="32"/>
          <w:szCs w:val="32"/>
        </w:rPr>
      </w:pPr>
      <w:r>
        <w:rPr>
          <w:rFonts w:hint="eastAsia" w:ascii="楷体" w:hAnsi="楷体" w:eastAsia="楷体"/>
          <w:sz w:val="32"/>
          <w:szCs w:val="32"/>
        </w:rPr>
        <w:t>（五）清算交收</w:t>
      </w:r>
    </w:p>
    <w:p>
      <w:pPr>
        <w:spacing w:line="560" w:lineRule="exact"/>
        <w:ind w:firstLine="566" w:firstLineChars="177"/>
        <w:rPr>
          <w:rFonts w:ascii="仿宋" w:hAnsi="仿宋" w:eastAsia="仿宋"/>
          <w:sz w:val="32"/>
          <w:szCs w:val="32"/>
        </w:rPr>
      </w:pPr>
      <w:r>
        <w:rPr>
          <w:rFonts w:hint="eastAsia" w:ascii="仿宋" w:hAnsi="仿宋" w:eastAsia="仿宋"/>
          <w:sz w:val="32"/>
          <w:szCs w:val="32"/>
        </w:rPr>
        <w:t>中国结算根据香港证券公司经由深证通发至境内的成交明细数据进行资金清算。H股交易日后第一个联交所交收日，中国结算与香港证券公司通过香港结算系统进行预对盘；H股交易日后第二个联交所交收日，中国结算与香港证券公司以实时货银对付方式完成证券和资金交收。中国结算根据清算结果于H股交易日后的第二个联交所交收日完成与境内结算参与人的证券和资金交收，遇境内假期则顺延至假期后首个H股交收日。</w:t>
      </w:r>
    </w:p>
    <w:p>
      <w:pPr>
        <w:spacing w:line="560" w:lineRule="exact"/>
        <w:ind w:firstLine="566" w:firstLineChars="177"/>
        <w:rPr>
          <w:rFonts w:ascii="楷体" w:hAnsi="楷体" w:eastAsia="楷体"/>
          <w:sz w:val="32"/>
          <w:szCs w:val="32"/>
        </w:rPr>
      </w:pPr>
      <w:r>
        <w:rPr>
          <w:rFonts w:hint="eastAsia" w:ascii="楷体" w:hAnsi="楷体" w:eastAsia="楷体"/>
          <w:sz w:val="32"/>
          <w:szCs w:val="32"/>
        </w:rPr>
        <w:t>（六）公司行为服务</w:t>
      </w:r>
    </w:p>
    <w:p>
      <w:pPr>
        <w:spacing w:line="560" w:lineRule="exact"/>
        <w:ind w:firstLine="566" w:firstLineChars="177"/>
        <w:rPr>
          <w:rFonts w:ascii="仿宋" w:hAnsi="仿宋" w:eastAsia="仿宋"/>
          <w:sz w:val="32"/>
          <w:szCs w:val="32"/>
        </w:rPr>
      </w:pPr>
      <w:r>
        <w:rPr>
          <w:rFonts w:hint="eastAsia" w:ascii="仿宋" w:hAnsi="仿宋" w:eastAsia="仿宋"/>
          <w:sz w:val="32"/>
          <w:szCs w:val="32"/>
        </w:rPr>
        <w:t>中国结算通过境内结算参与人为投资者提供公司行为服务，具体服务包括现金红利派发、送转股和投票业务。中国结算从香港结算收到权益证券后直接派发至相关证券账户，收到权益资金派发至境内结算参与人结算备付金账户，由境内结算参与人派发给投资者。中国结算办理投票业务，汇总申报期内投资者投票意愿后，向香港结算提交，投资者也可以选择现场投票。</w:t>
      </w:r>
    </w:p>
    <w:p>
      <w:pPr>
        <w:spacing w:line="560" w:lineRule="exact"/>
        <w:ind w:firstLine="566" w:firstLineChars="177"/>
        <w:rPr>
          <w:rFonts w:ascii="楷体" w:hAnsi="楷体" w:eastAsia="楷体"/>
          <w:sz w:val="32"/>
          <w:szCs w:val="32"/>
        </w:rPr>
      </w:pPr>
      <w:r>
        <w:rPr>
          <w:rFonts w:hint="eastAsia" w:ascii="楷体" w:hAnsi="楷体" w:eastAsia="楷体"/>
          <w:sz w:val="32"/>
          <w:szCs w:val="32"/>
        </w:rPr>
        <w:t>（七）风险管理</w:t>
      </w:r>
    </w:p>
    <w:p>
      <w:pPr>
        <w:spacing w:line="560" w:lineRule="exact"/>
        <w:ind w:firstLine="566" w:firstLineChars="177"/>
        <w:rPr>
          <w:rFonts w:ascii="仿宋" w:hAnsi="仿宋" w:eastAsia="仿宋"/>
          <w:sz w:val="32"/>
          <w:szCs w:val="32"/>
        </w:rPr>
      </w:pPr>
      <w:r>
        <w:rPr>
          <w:rFonts w:hint="eastAsia" w:ascii="仿宋" w:hAnsi="仿宋" w:eastAsia="仿宋"/>
          <w:sz w:val="32"/>
          <w:szCs w:val="32"/>
        </w:rPr>
        <w:t>在境内交易的投资者不可卖空，境内证券公司和香港证券公司分别进行确认证券足额和总额控制。因证券公司前端检查监控失败出现投资者卖空的，香港证券公司进行补购，价差与罚息等由责任方承担。香港证券公司应当按照约定向中国结算缴纳担保资金和结算保证金，结算保证金由中国结算在香港证券公司发生交收违约时，用于弥补交收违约损失。</w:t>
      </w:r>
    </w:p>
    <w:p>
      <w:pPr>
        <w:spacing w:line="560" w:lineRule="exact"/>
        <w:ind w:firstLine="566" w:firstLineChars="177"/>
        <w:rPr>
          <w:rFonts w:ascii="楷体" w:hAnsi="楷体" w:eastAsia="楷体"/>
          <w:sz w:val="32"/>
          <w:szCs w:val="32"/>
        </w:rPr>
      </w:pPr>
      <w:r>
        <w:rPr>
          <w:rFonts w:hint="eastAsia" w:ascii="楷体" w:hAnsi="楷体" w:eastAsia="楷体"/>
          <w:sz w:val="32"/>
          <w:szCs w:val="32"/>
        </w:rPr>
        <w:t>（八）结算参与机构和结算银行管理</w:t>
      </w:r>
    </w:p>
    <w:p>
      <w:pPr>
        <w:spacing w:line="560" w:lineRule="exact"/>
        <w:ind w:firstLine="566" w:firstLineChars="177"/>
        <w:rPr>
          <w:rFonts w:ascii="仿宋" w:hAnsi="仿宋" w:eastAsia="仿宋"/>
          <w:sz w:val="32"/>
          <w:szCs w:val="32"/>
        </w:rPr>
      </w:pPr>
      <w:r>
        <w:rPr>
          <w:rFonts w:hint="eastAsia" w:ascii="仿宋" w:hAnsi="仿宋" w:eastAsia="仿宋"/>
          <w:sz w:val="32"/>
          <w:szCs w:val="32"/>
        </w:rPr>
        <w:t>结算参与人在办理证券和资金清算交收等业务过程中违反《细则》规定的，中国结算可参照结算参与人管理相关规定对其采取相应措施。B转H业务的结算银行应当是已为中国结算提供外币结算服务的结算银行。</w:t>
      </w:r>
    </w:p>
    <w:p>
      <w:pPr>
        <w:spacing w:line="560" w:lineRule="exact"/>
        <w:ind w:firstLine="566" w:firstLineChars="177"/>
        <w:rPr>
          <w:rFonts w:ascii="楷体" w:hAnsi="楷体" w:eastAsia="楷体"/>
          <w:sz w:val="32"/>
          <w:szCs w:val="32"/>
        </w:rPr>
      </w:pPr>
      <w:r>
        <w:rPr>
          <w:rFonts w:hint="eastAsia" w:ascii="楷体" w:hAnsi="楷体" w:eastAsia="楷体"/>
          <w:sz w:val="32"/>
          <w:szCs w:val="32"/>
        </w:rPr>
        <w:t>（九）应急处理和境内证券公司监管</w:t>
      </w:r>
    </w:p>
    <w:p>
      <w:pPr>
        <w:spacing w:line="560" w:lineRule="exact"/>
        <w:ind w:firstLine="566" w:firstLineChars="177"/>
        <w:rPr>
          <w:rFonts w:ascii="仿宋" w:hAnsi="仿宋" w:eastAsia="仿宋"/>
          <w:sz w:val="32"/>
          <w:szCs w:val="32"/>
        </w:rPr>
      </w:pPr>
      <w:r>
        <w:rPr>
          <w:rFonts w:hint="eastAsia" w:ascii="仿宋" w:hAnsi="仿宋" w:eastAsia="仿宋"/>
          <w:sz w:val="32"/>
          <w:szCs w:val="32"/>
        </w:rPr>
        <w:t>因突发性事件导致或者可能导致交易不能正常进行的，深交所可以决定暂停部分或者全部交易，并通知中国结算暂缓相应交收业务，向市场公告并向中国证监会报告。深交所对于境内证券公司在发送股份委托指令和接收成交回报过程中，以及对投资者持仓前端检查监控过程中违反《细则》的，可以参照会员管理相关规定采取相应自律监管措施。</w:t>
      </w:r>
    </w:p>
    <w:p>
      <w:pPr>
        <w:spacing w:line="560" w:lineRule="exact"/>
        <w:ind w:firstLine="566" w:firstLineChars="177"/>
        <w:rPr>
          <w:rFonts w:ascii="黑体" w:hAnsi="黑体" w:eastAsia="黑体"/>
          <w:sz w:val="32"/>
          <w:szCs w:val="32"/>
        </w:rPr>
      </w:pPr>
      <w:r>
        <w:rPr>
          <w:rFonts w:hint="eastAsia" w:ascii="黑体" w:hAnsi="黑体" w:eastAsia="黑体"/>
          <w:sz w:val="32"/>
          <w:szCs w:val="32"/>
        </w:rPr>
        <w:t>三、征求意见及采纳情况</w:t>
      </w:r>
    </w:p>
    <w:p>
      <w:pPr>
        <w:spacing w:line="560" w:lineRule="exact"/>
        <w:ind w:firstLine="566" w:firstLineChars="177"/>
        <w:rPr>
          <w:rFonts w:ascii="仿宋" w:hAnsi="仿宋" w:eastAsia="仿宋"/>
          <w:sz w:val="32"/>
          <w:szCs w:val="32"/>
        </w:rPr>
      </w:pPr>
      <w:r>
        <w:rPr>
          <w:rFonts w:hint="eastAsia" w:ascii="仿宋" w:hAnsi="仿宋" w:eastAsia="仿宋"/>
          <w:sz w:val="32"/>
          <w:szCs w:val="32"/>
        </w:rPr>
        <w:t>秉承“开门立规”原则，深交所与中国结算向深圳市场B转H上市公司和全部证券公司征求意见，共收到19条反馈，合并同类意见后共17条，其中9条属于解释说明事项。本所与中国结算对与规则制定相关的8条意见进行了认真研究，采纳了其中5条合理意见，对《细则》作出相应修订完善，其他3条意见暂未采纳，后续将视市场发展情况进一步研究考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3230F"/>
    <w:rsid w:val="00010F74"/>
    <w:rsid w:val="000115A0"/>
    <w:rsid w:val="0005640F"/>
    <w:rsid w:val="000D6E35"/>
    <w:rsid w:val="000F5202"/>
    <w:rsid w:val="00101C64"/>
    <w:rsid w:val="00104BD2"/>
    <w:rsid w:val="00137DE7"/>
    <w:rsid w:val="001B734E"/>
    <w:rsid w:val="001F0C62"/>
    <w:rsid w:val="00217FE1"/>
    <w:rsid w:val="00222DA6"/>
    <w:rsid w:val="00224098"/>
    <w:rsid w:val="0023172F"/>
    <w:rsid w:val="002343B1"/>
    <w:rsid w:val="002E1D3F"/>
    <w:rsid w:val="003A07BF"/>
    <w:rsid w:val="003B5D8D"/>
    <w:rsid w:val="00416EF8"/>
    <w:rsid w:val="00446067"/>
    <w:rsid w:val="004630CD"/>
    <w:rsid w:val="0046468F"/>
    <w:rsid w:val="004C4C95"/>
    <w:rsid w:val="004F7E9E"/>
    <w:rsid w:val="00541074"/>
    <w:rsid w:val="005668F6"/>
    <w:rsid w:val="00567253"/>
    <w:rsid w:val="00585F0F"/>
    <w:rsid w:val="005A46B4"/>
    <w:rsid w:val="005D5765"/>
    <w:rsid w:val="00626497"/>
    <w:rsid w:val="00634745"/>
    <w:rsid w:val="006375BF"/>
    <w:rsid w:val="006859BF"/>
    <w:rsid w:val="006D2E29"/>
    <w:rsid w:val="00744346"/>
    <w:rsid w:val="007972D1"/>
    <w:rsid w:val="00810D2B"/>
    <w:rsid w:val="0081493C"/>
    <w:rsid w:val="00840946"/>
    <w:rsid w:val="00857A26"/>
    <w:rsid w:val="00892C21"/>
    <w:rsid w:val="008D36B5"/>
    <w:rsid w:val="008E119C"/>
    <w:rsid w:val="008E5425"/>
    <w:rsid w:val="008F77A4"/>
    <w:rsid w:val="00935DDD"/>
    <w:rsid w:val="0098006E"/>
    <w:rsid w:val="009971DC"/>
    <w:rsid w:val="009F6263"/>
    <w:rsid w:val="00A73024"/>
    <w:rsid w:val="00AB6073"/>
    <w:rsid w:val="00AF1CF5"/>
    <w:rsid w:val="00B01B48"/>
    <w:rsid w:val="00B1563E"/>
    <w:rsid w:val="00B9321D"/>
    <w:rsid w:val="00BC04FA"/>
    <w:rsid w:val="00BD2185"/>
    <w:rsid w:val="00C35E86"/>
    <w:rsid w:val="00C446B6"/>
    <w:rsid w:val="00C65B68"/>
    <w:rsid w:val="00C67E15"/>
    <w:rsid w:val="00CA1A62"/>
    <w:rsid w:val="00CB6D6E"/>
    <w:rsid w:val="00CD7BD7"/>
    <w:rsid w:val="00D3202F"/>
    <w:rsid w:val="00D47164"/>
    <w:rsid w:val="00D6268A"/>
    <w:rsid w:val="00D73F56"/>
    <w:rsid w:val="00DB252A"/>
    <w:rsid w:val="00DC11C9"/>
    <w:rsid w:val="00DE3B1D"/>
    <w:rsid w:val="00DE3FF4"/>
    <w:rsid w:val="00E27263"/>
    <w:rsid w:val="00EB2A77"/>
    <w:rsid w:val="00EB38F4"/>
    <w:rsid w:val="00F05DBF"/>
    <w:rsid w:val="00F52242"/>
    <w:rsid w:val="00F61249"/>
    <w:rsid w:val="00FA667F"/>
    <w:rsid w:val="00FD1555"/>
    <w:rsid w:val="00FD5DA3"/>
    <w:rsid w:val="00FF66C6"/>
    <w:rsid w:val="041B7A3B"/>
    <w:rsid w:val="04A76AF2"/>
    <w:rsid w:val="0B346D85"/>
    <w:rsid w:val="0CB84EA3"/>
    <w:rsid w:val="117D2410"/>
    <w:rsid w:val="1BEC71CB"/>
    <w:rsid w:val="274F0734"/>
    <w:rsid w:val="2834011E"/>
    <w:rsid w:val="291134EF"/>
    <w:rsid w:val="299A4067"/>
    <w:rsid w:val="29DF6806"/>
    <w:rsid w:val="2C797A28"/>
    <w:rsid w:val="2DDA3448"/>
    <w:rsid w:val="306159E5"/>
    <w:rsid w:val="31790415"/>
    <w:rsid w:val="348957C0"/>
    <w:rsid w:val="36A8227E"/>
    <w:rsid w:val="38A2180B"/>
    <w:rsid w:val="3BDD5C2C"/>
    <w:rsid w:val="3E456048"/>
    <w:rsid w:val="42ED477D"/>
    <w:rsid w:val="436552D6"/>
    <w:rsid w:val="44E22CC1"/>
    <w:rsid w:val="469965DF"/>
    <w:rsid w:val="48CE7F3F"/>
    <w:rsid w:val="50F415F6"/>
    <w:rsid w:val="52981095"/>
    <w:rsid w:val="54FF59EF"/>
    <w:rsid w:val="570C5B60"/>
    <w:rsid w:val="5CB3230F"/>
    <w:rsid w:val="5F3E6D4B"/>
    <w:rsid w:val="609D0786"/>
    <w:rsid w:val="65B17676"/>
    <w:rsid w:val="67961E67"/>
    <w:rsid w:val="765566B2"/>
    <w:rsid w:val="7C162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1"/>
    <w:autoRedefine/>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12"/>
    <w:qFormat/>
    <w:uiPriority w:val="0"/>
    <w:rPr>
      <w:b/>
      <w:bCs/>
    </w:rPr>
  </w:style>
  <w:style w:type="character" w:styleId="10">
    <w:name w:val="annotation reference"/>
    <w:basedOn w:val="9"/>
    <w:qFormat/>
    <w:uiPriority w:val="0"/>
    <w:rPr>
      <w:sz w:val="21"/>
      <w:szCs w:val="21"/>
    </w:rPr>
  </w:style>
  <w:style w:type="character" w:customStyle="1" w:styleId="11">
    <w:name w:val="批注文字 Char"/>
    <w:basedOn w:val="9"/>
    <w:link w:val="3"/>
    <w:qFormat/>
    <w:uiPriority w:val="0"/>
    <w:rPr>
      <w:rFonts w:ascii="Times New Roman" w:hAnsi="Times New Roman" w:eastAsia="宋体" w:cs="Times New Roman"/>
      <w:kern w:val="2"/>
      <w:sz w:val="21"/>
      <w:szCs w:val="24"/>
    </w:rPr>
  </w:style>
  <w:style w:type="character" w:customStyle="1" w:styleId="12">
    <w:name w:val="批注主题 Char"/>
    <w:basedOn w:val="11"/>
    <w:link w:val="7"/>
    <w:qFormat/>
    <w:uiPriority w:val="0"/>
    <w:rPr>
      <w:rFonts w:ascii="Times New Roman" w:hAnsi="Times New Roman" w:eastAsia="宋体" w:cs="Times New Roman"/>
      <w:b/>
      <w:bCs/>
      <w:kern w:val="2"/>
      <w:sz w:val="21"/>
      <w:szCs w:val="24"/>
    </w:rPr>
  </w:style>
  <w:style w:type="character" w:customStyle="1" w:styleId="13">
    <w:name w:val="批注框文本 Char"/>
    <w:basedOn w:val="9"/>
    <w:link w:val="4"/>
    <w:qFormat/>
    <w:uiPriority w:val="0"/>
    <w:rPr>
      <w:rFonts w:ascii="Times New Roman" w:hAnsi="Times New Roman" w:eastAsia="宋体" w:cs="Times New Roman"/>
      <w:kern w:val="2"/>
      <w:sz w:val="18"/>
      <w:szCs w:val="18"/>
    </w:rPr>
  </w:style>
  <w:style w:type="character" w:customStyle="1" w:styleId="14">
    <w:name w:val="标题 1 Char"/>
    <w:basedOn w:val="9"/>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B56EC-EA9D-4A26-94BC-600CDA73F7E1}">
  <ds:schemaRefs/>
</ds:datastoreItem>
</file>

<file path=docProps/app.xml><?xml version="1.0" encoding="utf-8"?>
<Properties xmlns="http://schemas.openxmlformats.org/officeDocument/2006/extended-properties" xmlns:vt="http://schemas.openxmlformats.org/officeDocument/2006/docPropsVTypes">
  <Template>Normal</Template>
  <Pages>1</Pages>
  <Words>342</Words>
  <Characters>1951</Characters>
  <Lines>16</Lines>
  <Paragraphs>4</Paragraphs>
  <TotalTime>29</TotalTime>
  <ScaleCrop>false</ScaleCrop>
  <LinksUpToDate>false</LinksUpToDate>
  <CharactersWithSpaces>2289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2023-12-26T06:12:00Z</dcterms:created>
  <dc:creator>杨浩</dc:creator>
  <cp:lastModifiedBy>由吉</cp:lastModifiedBy>
  <cp:lastPrinted>2022-08-23T01:26:00Z</cp:lastPrinted>
  <dcterms:modified xsi:type="dcterms:W3CDTF">2023-12-29T08:48:37Z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69E79E3A0BB241D89D046247C8367ABA_13</vt:lpwstr>
  </property>
</Properties>
</file>